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Look w:val="01E0"/>
      </w:tblPr>
      <w:tblGrid>
        <w:gridCol w:w="3510"/>
        <w:gridCol w:w="6265"/>
      </w:tblGrid>
      <w:tr w:rsidR="00157233" w:rsidTr="00157233">
        <w:tc>
          <w:tcPr>
            <w:tcW w:w="3510" w:type="dxa"/>
            <w:hideMark/>
          </w:tcPr>
          <w:p w:rsidR="00157233" w:rsidRDefault="00157233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HỘI ĐỒNG NHÂN DÂN</w:t>
            </w:r>
          </w:p>
          <w:p w:rsidR="00157233" w:rsidRDefault="00157233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TỈNH YÊN BÁI</w:t>
            </w:r>
          </w:p>
          <w:p w:rsidR="00157233" w:rsidRPr="00D30526" w:rsidRDefault="00D30526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28"/>
              </w:rPr>
            </w:pPr>
            <w:r w:rsidRPr="00D30526">
              <w:rPr>
                <w:rFonts w:ascii="Times New Roman" w:hAnsi="Times New Roman"/>
                <w:bCs/>
                <w:iCs/>
                <w:sz w:val="16"/>
                <w:szCs w:val="28"/>
              </w:rPr>
              <w:t>––––––––––––</w:t>
            </w:r>
          </w:p>
          <w:p w:rsidR="00157233" w:rsidRDefault="00157233" w:rsidP="00A461BF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vi-VN"/>
              </w:rPr>
              <w:t xml:space="preserve">Số: </w:t>
            </w:r>
            <w:r w:rsidR="00A461BF">
              <w:rPr>
                <w:rFonts w:ascii="Times New Roman" w:hAnsi="Times New Roman"/>
                <w:bCs/>
                <w:iCs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vi-VN"/>
              </w:rPr>
              <w:t>/2017/NQ-HĐND</w:t>
            </w:r>
          </w:p>
        </w:tc>
        <w:tc>
          <w:tcPr>
            <w:tcW w:w="6265" w:type="dxa"/>
            <w:hideMark/>
          </w:tcPr>
          <w:p w:rsidR="00157233" w:rsidRDefault="00157233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8"/>
              </w:rPr>
            </w:pPr>
            <w:r>
              <w:rPr>
                <w:b/>
                <w:bCs/>
                <w:iCs/>
                <w:sz w:val="26"/>
                <w:szCs w:val="28"/>
              </w:rPr>
              <w:t>CỘNG HOÀ XÃ HỘI CHỦ NGHĨA VIỆT NAM</w:t>
            </w:r>
          </w:p>
          <w:p w:rsidR="00157233" w:rsidRDefault="00157233">
            <w:pPr>
              <w:spacing w:line="276" w:lineRule="auto"/>
              <w:jc w:val="center"/>
              <w:rPr>
                <w:b/>
                <w:bCs/>
                <w:iCs/>
                <w:szCs w:val="26"/>
              </w:rPr>
            </w:pPr>
            <w:r>
              <w:rPr>
                <w:b/>
                <w:bCs/>
                <w:iCs/>
                <w:sz w:val="28"/>
                <w:szCs w:val="26"/>
              </w:rPr>
              <w:t>Độc lập - Tự do - Hạnh phúc</w:t>
            </w:r>
          </w:p>
          <w:p w:rsidR="00157233" w:rsidRDefault="00157233">
            <w:pPr>
              <w:spacing w:line="276" w:lineRule="auto"/>
              <w:jc w:val="center"/>
              <w:rPr>
                <w:bCs/>
                <w:iCs/>
                <w:szCs w:val="28"/>
                <w:lang w:val="en-US"/>
              </w:rPr>
            </w:pPr>
            <w:r w:rsidRPr="00D30526">
              <w:rPr>
                <w:bCs/>
                <w:iCs/>
                <w:sz w:val="16"/>
                <w:szCs w:val="28"/>
                <w:lang w:val="en-US"/>
              </w:rPr>
              <w:t>–––––––––––––––––––––––––––</w:t>
            </w:r>
            <w:r w:rsidR="00D30526">
              <w:rPr>
                <w:bCs/>
                <w:iCs/>
                <w:sz w:val="16"/>
                <w:szCs w:val="28"/>
                <w:lang w:val="en-US"/>
              </w:rPr>
              <w:t>––––––––––––––</w:t>
            </w:r>
            <w:r w:rsidRPr="00D30526">
              <w:rPr>
                <w:bCs/>
                <w:iCs/>
                <w:sz w:val="16"/>
                <w:szCs w:val="28"/>
                <w:lang w:val="en-US"/>
              </w:rPr>
              <w:t>––</w:t>
            </w:r>
          </w:p>
          <w:p w:rsidR="00157233" w:rsidRDefault="00A461BF" w:rsidP="00A461BF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>Yên Bái, ngày</w:t>
            </w:r>
            <w:r w:rsidR="00157233"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Cs w:val="28"/>
              </w:rPr>
              <w:t>25</w:t>
            </w:r>
            <w:r w:rsidR="00157233"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 xml:space="preserve"> tháng </w:t>
            </w:r>
            <w:r>
              <w:rPr>
                <w:rFonts w:ascii="Times New Roman" w:hAnsi="Times New Roman"/>
                <w:bCs/>
                <w:i/>
                <w:iCs/>
                <w:szCs w:val="28"/>
              </w:rPr>
              <w:t>7</w:t>
            </w:r>
            <w:r w:rsidR="00157233"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 xml:space="preserve"> năm 2017</w:t>
            </w:r>
          </w:p>
        </w:tc>
      </w:tr>
    </w:tbl>
    <w:p w:rsidR="00157233" w:rsidRDefault="00157233" w:rsidP="00157233">
      <w:pPr>
        <w:jc w:val="center"/>
        <w:rPr>
          <w:b/>
          <w:bCs/>
          <w:iCs/>
          <w:szCs w:val="28"/>
        </w:rPr>
      </w:pPr>
    </w:p>
    <w:p w:rsidR="00157233" w:rsidRDefault="00157233" w:rsidP="00157233">
      <w:pPr>
        <w:jc w:val="center"/>
        <w:rPr>
          <w:b/>
          <w:bCs/>
          <w:iCs/>
          <w:sz w:val="28"/>
          <w:szCs w:val="28"/>
          <w:lang w:val="en-US"/>
        </w:rPr>
      </w:pPr>
    </w:p>
    <w:p w:rsidR="00157233" w:rsidRDefault="00157233" w:rsidP="001572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NGHỊ QUYẾT </w:t>
      </w:r>
    </w:p>
    <w:p w:rsidR="00157233" w:rsidRDefault="00157233" w:rsidP="00157233">
      <w:pPr>
        <w:jc w:val="center"/>
        <w:rPr>
          <w:b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t>Ban hành Qu</w:t>
      </w:r>
      <w:r>
        <w:rPr>
          <w:b/>
          <w:bCs/>
          <w:iCs/>
          <w:sz w:val="28"/>
          <w:szCs w:val="28"/>
          <w:lang w:val="en-US"/>
        </w:rPr>
        <w:t>y</w:t>
      </w:r>
      <w:r>
        <w:rPr>
          <w:b/>
          <w:bCs/>
          <w:iCs/>
          <w:sz w:val="28"/>
          <w:szCs w:val="28"/>
        </w:rPr>
        <w:t xml:space="preserve"> định về chế độ </w:t>
      </w:r>
      <w:r>
        <w:rPr>
          <w:b/>
          <w:sz w:val="28"/>
          <w:szCs w:val="28"/>
        </w:rPr>
        <w:t>công tác phí, chế độ chi hội nghị</w:t>
      </w:r>
    </w:p>
    <w:p w:rsidR="00157233" w:rsidRDefault="00157233" w:rsidP="00157233">
      <w:pPr>
        <w:jc w:val="center"/>
        <w:rPr>
          <w:b/>
          <w:bCs/>
          <w:iCs/>
          <w:sz w:val="26"/>
          <w:szCs w:val="26"/>
        </w:rPr>
      </w:pPr>
      <w:r>
        <w:rPr>
          <w:b/>
          <w:sz w:val="28"/>
          <w:szCs w:val="28"/>
        </w:rPr>
        <w:t>trên địa bàn tỉnh Yên Bái</w:t>
      </w:r>
    </w:p>
    <w:p w:rsidR="00157233" w:rsidRDefault="00157233" w:rsidP="00157233">
      <w:pPr>
        <w:jc w:val="center"/>
        <w:rPr>
          <w:bCs/>
          <w:iCs/>
          <w:sz w:val="28"/>
          <w:szCs w:val="28"/>
        </w:rPr>
      </w:pPr>
      <w:r>
        <w:rPr>
          <w:bCs/>
          <w:iCs/>
          <w:szCs w:val="28"/>
          <w:lang w:val="en-US"/>
        </w:rPr>
        <w:t>––––––––––––––</w:t>
      </w:r>
    </w:p>
    <w:p w:rsidR="00157233" w:rsidRDefault="00157233" w:rsidP="00157233">
      <w:pPr>
        <w:spacing w:before="120"/>
        <w:jc w:val="center"/>
        <w:rPr>
          <w:b/>
          <w:bCs/>
          <w:iCs/>
          <w:sz w:val="28"/>
          <w:szCs w:val="28"/>
        </w:rPr>
      </w:pPr>
    </w:p>
    <w:p w:rsidR="00157233" w:rsidRDefault="00157233" w:rsidP="001572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HỘI ĐỒNG NHÂN DÂN TỈNH YÊN BÁI</w:t>
      </w:r>
    </w:p>
    <w:p w:rsidR="00157233" w:rsidRDefault="00157233" w:rsidP="001572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KHÓA XVIII </w:t>
      </w:r>
      <w:r>
        <w:rPr>
          <w:b/>
          <w:bCs/>
          <w:iCs/>
          <w:sz w:val="28"/>
          <w:szCs w:val="28"/>
          <w:lang w:val="en-US"/>
        </w:rPr>
        <w:t xml:space="preserve">- </w:t>
      </w:r>
      <w:r>
        <w:rPr>
          <w:b/>
          <w:bCs/>
          <w:iCs/>
          <w:sz w:val="28"/>
          <w:szCs w:val="28"/>
        </w:rPr>
        <w:t>KỲ HỌP THỨ 6</w:t>
      </w:r>
    </w:p>
    <w:p w:rsidR="00157233" w:rsidRDefault="00157233" w:rsidP="00157233">
      <w:pPr>
        <w:spacing w:before="12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157233" w:rsidRDefault="00157233" w:rsidP="00A461BF">
      <w:pPr>
        <w:spacing w:before="120" w:afterLines="60"/>
        <w:ind w:firstLine="709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i/>
          <w:sz w:val="28"/>
          <w:szCs w:val="28"/>
        </w:rPr>
        <w:t xml:space="preserve">Căn cứ Luật tổ chức chính quyền địa phương ngày 19 tháng 6 năm 2015; </w:t>
      </w:r>
    </w:p>
    <w:p w:rsidR="00157233" w:rsidRDefault="00157233" w:rsidP="00A461BF">
      <w:pPr>
        <w:spacing w:before="120" w:afterLines="6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Luật ngân sách nhà nước ngày 25 tháng 6 năm 2015;</w:t>
      </w:r>
    </w:p>
    <w:p w:rsidR="00157233" w:rsidRDefault="00157233" w:rsidP="00A461BF">
      <w:pPr>
        <w:spacing w:before="120" w:afterLines="60"/>
        <w:ind w:firstLine="709"/>
        <w:jc w:val="both"/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Căn cứ Luật ban hành văn bản quy phạm pháp luật ngày 22</w:t>
      </w:r>
      <w:r>
        <w:rPr>
          <w:i/>
          <w:spacing w:val="-8"/>
          <w:sz w:val="28"/>
          <w:szCs w:val="28"/>
          <w:lang w:val="en-US"/>
        </w:rPr>
        <w:t xml:space="preserve"> tháng </w:t>
      </w:r>
      <w:r>
        <w:rPr>
          <w:i/>
          <w:spacing w:val="-8"/>
          <w:sz w:val="28"/>
          <w:szCs w:val="28"/>
        </w:rPr>
        <w:t>6</w:t>
      </w:r>
      <w:r>
        <w:rPr>
          <w:i/>
          <w:spacing w:val="-8"/>
          <w:sz w:val="28"/>
          <w:szCs w:val="28"/>
          <w:lang w:val="en-US"/>
        </w:rPr>
        <w:t xml:space="preserve"> năm </w:t>
      </w:r>
      <w:r>
        <w:rPr>
          <w:i/>
          <w:spacing w:val="-8"/>
          <w:sz w:val="28"/>
          <w:szCs w:val="28"/>
        </w:rPr>
        <w:t>2015;</w:t>
      </w:r>
    </w:p>
    <w:p w:rsidR="00157233" w:rsidRDefault="00157233" w:rsidP="00157233">
      <w:pPr>
        <w:spacing w:before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Nghị định số 163/2016/NĐ-CP ngày 21 tháng 12 năm 2016 của Chính </w:t>
      </w:r>
      <w:r w:rsidR="00CB5793" w:rsidRPr="00263A4C">
        <w:rPr>
          <w:i/>
          <w:sz w:val="28"/>
          <w:szCs w:val="28"/>
          <w:lang w:val="en-US"/>
        </w:rPr>
        <w:t>p</w:t>
      </w:r>
      <w:r w:rsidRPr="00263A4C">
        <w:rPr>
          <w:i/>
          <w:sz w:val="28"/>
          <w:szCs w:val="28"/>
        </w:rPr>
        <w:t xml:space="preserve">hủ quy định chi tiết thi hành </w:t>
      </w:r>
      <w:r w:rsidR="00334B81" w:rsidRPr="00263A4C">
        <w:rPr>
          <w:i/>
          <w:sz w:val="28"/>
          <w:szCs w:val="28"/>
          <w:lang w:val="en-US"/>
        </w:rPr>
        <w:t xml:space="preserve">một số điều của </w:t>
      </w:r>
      <w:r w:rsidRPr="00263A4C">
        <w:rPr>
          <w:i/>
          <w:sz w:val="28"/>
          <w:szCs w:val="28"/>
        </w:rPr>
        <w:t xml:space="preserve">Luật </w:t>
      </w:r>
      <w:r w:rsidRPr="00263A4C">
        <w:rPr>
          <w:i/>
          <w:sz w:val="28"/>
          <w:szCs w:val="28"/>
          <w:lang w:val="en-US"/>
        </w:rPr>
        <w:t>n</w:t>
      </w:r>
      <w:r w:rsidRPr="00263A4C">
        <w:rPr>
          <w:i/>
          <w:sz w:val="28"/>
          <w:szCs w:val="28"/>
        </w:rPr>
        <w:t>gân sách</w:t>
      </w:r>
      <w:r w:rsidR="00CB5793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hà nước; </w:t>
      </w:r>
    </w:p>
    <w:p w:rsidR="00157233" w:rsidRDefault="00157233" w:rsidP="00A461BF">
      <w:pPr>
        <w:spacing w:before="120" w:afterLines="6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Nghị định số 34/2016/NĐ-CP ngày 14 tháng 5 năm 2016 của Chính phủ quy định chi tiết một số </w:t>
      </w:r>
      <w:r>
        <w:rPr>
          <w:i/>
          <w:sz w:val="28"/>
          <w:szCs w:val="28"/>
          <w:lang w:val="en-US"/>
        </w:rPr>
        <w:t>đ</w:t>
      </w:r>
      <w:r>
        <w:rPr>
          <w:i/>
          <w:sz w:val="28"/>
          <w:szCs w:val="28"/>
        </w:rPr>
        <w:t>iều và biện pháp thi hành Luật ban hành văn bản quy phạm pháp luật;</w:t>
      </w:r>
    </w:p>
    <w:p w:rsidR="00157233" w:rsidRDefault="00157233" w:rsidP="00157233">
      <w:pPr>
        <w:spacing w:before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Thông tư số 40/2017/TT-BTC ngày 28 tháng 4 năm 2017 của Bộ Tài chính quy định chế độ công tác phí, chế độ chi hội nghị;</w:t>
      </w:r>
    </w:p>
    <w:p w:rsidR="00157233" w:rsidRDefault="00157233" w:rsidP="00157233">
      <w:pPr>
        <w:spacing w:before="1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i/>
          <w:sz w:val="28"/>
          <w:szCs w:val="28"/>
        </w:rPr>
        <w:t xml:space="preserve">Xét Tờ trình số </w:t>
      </w:r>
      <w:r>
        <w:rPr>
          <w:i/>
          <w:sz w:val="28"/>
          <w:szCs w:val="28"/>
          <w:lang w:val="en-US"/>
        </w:rPr>
        <w:t>53</w:t>
      </w:r>
      <w:r>
        <w:rPr>
          <w:i/>
          <w:sz w:val="28"/>
          <w:szCs w:val="28"/>
        </w:rPr>
        <w:t xml:space="preserve">/TTr-UBND ngày </w:t>
      </w:r>
      <w:r>
        <w:rPr>
          <w:i/>
          <w:sz w:val="28"/>
          <w:szCs w:val="28"/>
          <w:lang w:val="en-US"/>
        </w:rPr>
        <w:t xml:space="preserve">10 tháng 7 năm </w:t>
      </w:r>
      <w:r>
        <w:rPr>
          <w:i/>
          <w:sz w:val="28"/>
          <w:szCs w:val="28"/>
        </w:rPr>
        <w:t xml:space="preserve">2017 của Uỷ ban nhân dân tỉnh Yên Bái về việc </w:t>
      </w:r>
      <w:r>
        <w:rPr>
          <w:i/>
          <w:sz w:val="28"/>
          <w:szCs w:val="28"/>
          <w:lang w:val="en-US"/>
        </w:rPr>
        <w:t>ban hành Nghị quyết quy định chế độ công tác phí, chế độ chi hội nghị trên địa bàn tỉnh Yên Bái</w:t>
      </w:r>
      <w:r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áo cáo thẩm tra của Ban Kinh tế</w:t>
      </w:r>
      <w:r>
        <w:rPr>
          <w:i/>
          <w:sz w:val="28"/>
          <w:szCs w:val="28"/>
          <w:lang w:val="en-US"/>
        </w:rPr>
        <w:t xml:space="preserve"> -</w:t>
      </w:r>
      <w:r>
        <w:rPr>
          <w:i/>
          <w:sz w:val="28"/>
          <w:szCs w:val="28"/>
        </w:rPr>
        <w:t xml:space="preserve"> Ngân sách</w:t>
      </w:r>
      <w:r>
        <w:rPr>
          <w:i/>
          <w:sz w:val="28"/>
          <w:szCs w:val="28"/>
          <w:lang w:val="en-US"/>
        </w:rPr>
        <w:t xml:space="preserve">; </w:t>
      </w:r>
      <w:r>
        <w:rPr>
          <w:i/>
          <w:sz w:val="28"/>
          <w:szCs w:val="28"/>
        </w:rPr>
        <w:t xml:space="preserve">ý kiến thảo luận của </w:t>
      </w:r>
      <w:r>
        <w:rPr>
          <w:i/>
          <w:sz w:val="28"/>
          <w:szCs w:val="28"/>
          <w:lang w:val="en-US"/>
        </w:rPr>
        <w:t>đ</w:t>
      </w:r>
      <w:r>
        <w:rPr>
          <w:i/>
          <w:sz w:val="28"/>
          <w:szCs w:val="28"/>
        </w:rPr>
        <w:t>ại biểu Hội đồng nhân dân tại kỳ họp</w:t>
      </w:r>
      <w:r>
        <w:rPr>
          <w:sz w:val="28"/>
          <w:szCs w:val="28"/>
        </w:rPr>
        <w:t>.</w:t>
      </w:r>
    </w:p>
    <w:p w:rsidR="00157233" w:rsidRDefault="00157233" w:rsidP="00157233">
      <w:pPr>
        <w:spacing w:before="120"/>
        <w:jc w:val="center"/>
        <w:rPr>
          <w:bCs/>
          <w:iCs/>
          <w:sz w:val="28"/>
          <w:szCs w:val="28"/>
        </w:rPr>
      </w:pPr>
    </w:p>
    <w:p w:rsidR="00157233" w:rsidRDefault="00157233" w:rsidP="00157233">
      <w:pPr>
        <w:spacing w:before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QUYẾT NGHỊ:</w:t>
      </w:r>
    </w:p>
    <w:p w:rsidR="00157233" w:rsidRDefault="00157233" w:rsidP="00157233">
      <w:pPr>
        <w:spacing w:before="120"/>
        <w:jc w:val="center"/>
        <w:rPr>
          <w:b/>
          <w:bCs/>
          <w:sz w:val="28"/>
          <w:szCs w:val="28"/>
        </w:rPr>
      </w:pPr>
    </w:p>
    <w:p w:rsidR="00157233" w:rsidRDefault="00157233" w:rsidP="00157233">
      <w:pPr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Điều 1. </w:t>
      </w:r>
      <w:r>
        <w:rPr>
          <w:sz w:val="28"/>
          <w:szCs w:val="28"/>
        </w:rPr>
        <w:t xml:space="preserve">Ban hành kèm theo Nghị quyết này Quy định về chế độ công tác phí, chế độ chi hội nghị trên địa bàn tỉnh Yên Bái. </w:t>
      </w:r>
    </w:p>
    <w:p w:rsidR="00157233" w:rsidRDefault="00157233" w:rsidP="00157233">
      <w:pPr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Điều 2.</w:t>
      </w:r>
      <w:r>
        <w:rPr>
          <w:sz w:val="28"/>
          <w:szCs w:val="28"/>
        </w:rPr>
        <w:t>Giao Uỷ ban nhân dân tỉnh tổ chức thực hiện Nghị quyết này.</w:t>
      </w:r>
    </w:p>
    <w:p w:rsidR="00157233" w:rsidRDefault="00157233" w:rsidP="00157233">
      <w:pPr>
        <w:spacing w:before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3.</w:t>
      </w:r>
      <w:r>
        <w:rPr>
          <w:sz w:val="28"/>
          <w:szCs w:val="28"/>
        </w:rPr>
        <w:t xml:space="preserve"> Giao Thường trực Hội đồng nhân dân tỉnh, các ban của Hội đồng nhân dân tỉnh, các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ổ đại biểu và các đại biểu Hội đồng nhân dân tỉnh giám sát việc thực hiện Nghị quyết này.</w:t>
      </w:r>
    </w:p>
    <w:p w:rsidR="00157233" w:rsidRDefault="00157233" w:rsidP="0015723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1DE3">
        <w:rPr>
          <w:spacing w:val="10"/>
          <w:sz w:val="28"/>
          <w:szCs w:val="28"/>
        </w:rPr>
        <w:t xml:space="preserve">Nghị quyết này đã được Hội đồng nhân dân tỉnh Yên Bái khoá XVIII </w:t>
      </w:r>
      <w:r w:rsidRPr="00521DE3">
        <w:rPr>
          <w:spacing w:val="10"/>
          <w:sz w:val="28"/>
          <w:szCs w:val="28"/>
          <w:lang w:val="en-US"/>
        </w:rPr>
        <w:t>- K</w:t>
      </w:r>
      <w:r w:rsidRPr="00521DE3">
        <w:rPr>
          <w:spacing w:val="10"/>
          <w:sz w:val="28"/>
          <w:szCs w:val="28"/>
        </w:rPr>
        <w:t>ỳ họp thứ 6 thông qua n</w:t>
      </w:r>
      <w:bookmarkStart w:id="0" w:name="_GoBack"/>
      <w:bookmarkEnd w:id="0"/>
      <w:r w:rsidRPr="00521DE3">
        <w:rPr>
          <w:spacing w:val="10"/>
          <w:sz w:val="28"/>
          <w:szCs w:val="28"/>
        </w:rPr>
        <w:t xml:space="preserve">gày </w:t>
      </w:r>
      <w:r w:rsidR="00F10774" w:rsidRPr="00521DE3">
        <w:rPr>
          <w:spacing w:val="10"/>
          <w:sz w:val="28"/>
          <w:szCs w:val="28"/>
          <w:lang w:val="en-US"/>
        </w:rPr>
        <w:t>25</w:t>
      </w:r>
      <w:r w:rsidRPr="00521DE3">
        <w:rPr>
          <w:spacing w:val="10"/>
          <w:sz w:val="28"/>
          <w:szCs w:val="28"/>
        </w:rPr>
        <w:t xml:space="preserve"> tháng </w:t>
      </w:r>
      <w:r w:rsidRPr="00521DE3">
        <w:rPr>
          <w:spacing w:val="10"/>
          <w:sz w:val="28"/>
          <w:szCs w:val="28"/>
          <w:lang w:val="en-US"/>
        </w:rPr>
        <w:t xml:space="preserve">7 </w:t>
      </w:r>
      <w:r w:rsidRPr="00521DE3">
        <w:rPr>
          <w:spacing w:val="10"/>
          <w:sz w:val="28"/>
          <w:szCs w:val="28"/>
        </w:rPr>
        <w:t>năm 2017 và có hiệu lực kể từ ngày</w:t>
      </w:r>
      <w:r w:rsidR="00521DE3" w:rsidRPr="00521DE3">
        <w:rPr>
          <w:spacing w:val="10"/>
          <w:sz w:val="28"/>
          <w:szCs w:val="28"/>
          <w:lang w:val="en-US"/>
        </w:rPr>
        <w:t>05</w:t>
      </w:r>
      <w:r w:rsidRPr="00521DE3">
        <w:rPr>
          <w:spacing w:val="10"/>
          <w:sz w:val="28"/>
          <w:szCs w:val="28"/>
        </w:rPr>
        <w:t xml:space="preserve">tháng </w:t>
      </w:r>
      <w:r w:rsidR="00F10774" w:rsidRPr="00521DE3">
        <w:rPr>
          <w:spacing w:val="10"/>
          <w:sz w:val="28"/>
          <w:szCs w:val="28"/>
          <w:lang w:val="en-US"/>
        </w:rPr>
        <w:t xml:space="preserve">8 </w:t>
      </w:r>
      <w:r w:rsidRPr="00521DE3">
        <w:rPr>
          <w:spacing w:val="10"/>
          <w:sz w:val="28"/>
          <w:szCs w:val="28"/>
        </w:rPr>
        <w:t>năm 2017</w:t>
      </w:r>
      <w:r>
        <w:rPr>
          <w:sz w:val="28"/>
          <w:szCs w:val="28"/>
        </w:rPr>
        <w:t>./.</w:t>
      </w:r>
    </w:p>
    <w:p w:rsidR="00157233" w:rsidRDefault="00157233" w:rsidP="00157233">
      <w:pPr>
        <w:spacing w:before="120" w:line="360" w:lineRule="exact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1E0"/>
      </w:tblPr>
      <w:tblGrid>
        <w:gridCol w:w="5436"/>
        <w:gridCol w:w="3778"/>
      </w:tblGrid>
      <w:tr w:rsidR="00EB24C4" w:rsidTr="00A461BF">
        <w:trPr>
          <w:trHeight w:val="106"/>
        </w:trPr>
        <w:tc>
          <w:tcPr>
            <w:tcW w:w="5436" w:type="dxa"/>
            <w:hideMark/>
          </w:tcPr>
          <w:p w:rsidR="00EB24C4" w:rsidRDefault="00EB24C4">
            <w:pPr>
              <w:tabs>
                <w:tab w:val="left" w:pos="3818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Nơi nhận: </w:t>
            </w:r>
          </w:p>
          <w:p w:rsidR="00EB24C4" w:rsidRDefault="00EB24C4">
            <w:pPr>
              <w:tabs>
                <w:tab w:val="left" w:pos="3818"/>
              </w:tabs>
              <w:spacing w:line="276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Uỷ ban Thường vụ Quốc hội; </w:t>
            </w:r>
          </w:p>
          <w:p w:rsidR="00EB24C4" w:rsidRDefault="00EB24C4">
            <w:pPr>
              <w:tabs>
                <w:tab w:val="left" w:pos="3818"/>
              </w:tabs>
              <w:spacing w:line="276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- Chính phủ;</w:t>
            </w:r>
          </w:p>
          <w:p w:rsidR="00EB24C4" w:rsidRDefault="00EB24C4">
            <w:pPr>
              <w:tabs>
                <w:tab w:val="left" w:pos="3818"/>
              </w:tabs>
              <w:spacing w:line="276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- Bộ Tài chính;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- Cục Kiểm tra văn bản QPPL (Bộ Tư pháp);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Thường trực Tỉnh uỷ;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Thường trực HĐND tỉnh;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Ủy ban nhân dân tỉnh;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Ủy ban MTTQ Việt Nam tỉnh;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Đoàn đại biểu Quốc hội tỉnh; 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Các cơ quan, ban, ngành, đoàn thể cấp tỉnh;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Các đại biểu HĐND tỉnh;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TT. HĐND các huyện, thị xã, thành phố;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UBND các huyện, thị xã, thành phố;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Văn phòng UBND tỉnh (đăng công báo);</w:t>
            </w:r>
          </w:p>
          <w:p w:rsidR="00EB24C4" w:rsidRDefault="00EB24C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Lãnh đạo Văn phòng HĐND tỉnh;</w:t>
            </w:r>
          </w:p>
          <w:p w:rsidR="00EB24C4" w:rsidRDefault="00EB24C4">
            <w:pPr>
              <w:spacing w:line="276" w:lineRule="auto"/>
              <w:rPr>
                <w:bCs/>
                <w:iCs/>
                <w:lang w:val="en-US"/>
              </w:rPr>
            </w:pPr>
            <w:r>
              <w:rPr>
                <w:sz w:val="22"/>
                <w:szCs w:val="22"/>
              </w:rPr>
              <w:t>- Lưu: VT, KTNS.</w:t>
            </w:r>
          </w:p>
        </w:tc>
        <w:tc>
          <w:tcPr>
            <w:tcW w:w="3778" w:type="dxa"/>
          </w:tcPr>
          <w:p w:rsidR="00EB24C4" w:rsidRDefault="00EB24C4" w:rsidP="004D4221">
            <w:pPr>
              <w:spacing w:line="276" w:lineRule="auto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CHỦ TỊCH</w:t>
            </w:r>
          </w:p>
          <w:p w:rsidR="00EB24C4" w:rsidRDefault="00EB24C4" w:rsidP="004D4221">
            <w:pPr>
              <w:tabs>
                <w:tab w:val="left" w:pos="3818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</w:p>
          <w:p w:rsidR="00EB24C4" w:rsidRDefault="00EB24C4" w:rsidP="004D4221">
            <w:pPr>
              <w:tabs>
                <w:tab w:val="left" w:pos="3818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</w:p>
          <w:p w:rsidR="00EB24C4" w:rsidRDefault="00EB24C4" w:rsidP="004D4221">
            <w:pPr>
              <w:tabs>
                <w:tab w:val="left" w:pos="3818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</w:p>
          <w:p w:rsidR="00EB24C4" w:rsidRDefault="00EB24C4" w:rsidP="004D4221">
            <w:pPr>
              <w:tabs>
                <w:tab w:val="left" w:pos="3818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</w:p>
          <w:p w:rsidR="00EB24C4" w:rsidRDefault="00EB24C4" w:rsidP="004D4221">
            <w:pPr>
              <w:tabs>
                <w:tab w:val="left" w:pos="3818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</w:p>
          <w:p w:rsidR="00EB24C4" w:rsidRDefault="00EB24C4" w:rsidP="004D4221">
            <w:pPr>
              <w:spacing w:line="276" w:lineRule="auto"/>
              <w:jc w:val="center"/>
              <w:rPr>
                <w:bCs/>
                <w:iCs/>
                <w:szCs w:val="28"/>
              </w:rPr>
            </w:pPr>
          </w:p>
          <w:p w:rsidR="00EB24C4" w:rsidRDefault="00EB24C4" w:rsidP="004D4221">
            <w:pPr>
              <w:tabs>
                <w:tab w:val="left" w:pos="3818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</w:p>
          <w:p w:rsidR="00EB24C4" w:rsidRDefault="00EB24C4" w:rsidP="004D4221">
            <w:pPr>
              <w:tabs>
                <w:tab w:val="left" w:pos="3818"/>
              </w:tabs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Phạm Thị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T</w:t>
            </w:r>
            <w:r>
              <w:rPr>
                <w:b/>
                <w:bCs/>
                <w:iCs/>
                <w:sz w:val="28"/>
                <w:szCs w:val="28"/>
              </w:rPr>
              <w:t>hanh Trà</w:t>
            </w:r>
          </w:p>
        </w:tc>
      </w:tr>
    </w:tbl>
    <w:p w:rsidR="00157233" w:rsidRDefault="00157233" w:rsidP="00157233">
      <w:pPr>
        <w:rPr>
          <w:bCs/>
          <w:iCs/>
          <w:szCs w:val="28"/>
        </w:rPr>
      </w:pPr>
    </w:p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157233" w:rsidRDefault="00157233" w:rsidP="00157233"/>
    <w:p w:rsidR="007A4F75" w:rsidRPr="00157233" w:rsidRDefault="007A4F75" w:rsidP="00157233"/>
    <w:sectPr w:rsidR="007A4F75" w:rsidRPr="00157233" w:rsidSect="00831A09">
      <w:headerReference w:type="default" r:id="rId10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13" w:rsidRDefault="00A26613" w:rsidP="00831A09">
      <w:r>
        <w:separator/>
      </w:r>
    </w:p>
  </w:endnote>
  <w:endnote w:type="continuationSeparator" w:id="0">
    <w:p w:rsidR="00A26613" w:rsidRDefault="00A26613" w:rsidP="0083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13" w:rsidRDefault="00A26613" w:rsidP="00831A09">
      <w:r>
        <w:separator/>
      </w:r>
    </w:p>
  </w:footnote>
  <w:footnote w:type="continuationSeparator" w:id="0">
    <w:p w:rsidR="00A26613" w:rsidRDefault="00A26613" w:rsidP="0083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2970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1A09" w:rsidRDefault="00F64E57">
        <w:pPr>
          <w:pStyle w:val="Header"/>
          <w:jc w:val="center"/>
        </w:pPr>
        <w:r>
          <w:fldChar w:fldCharType="begin"/>
        </w:r>
        <w:r w:rsidR="00831A09">
          <w:instrText xml:space="preserve"> PAGE   \* MERGEFORMAT </w:instrText>
        </w:r>
        <w:r>
          <w:fldChar w:fldCharType="separate"/>
        </w:r>
        <w:r w:rsidR="00A46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A09" w:rsidRDefault="00831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F9"/>
    <w:multiLevelType w:val="hybridMultilevel"/>
    <w:tmpl w:val="25B268EC"/>
    <w:lvl w:ilvl="0" w:tplc="20E42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822FE"/>
    <w:multiLevelType w:val="hybridMultilevel"/>
    <w:tmpl w:val="D37610D8"/>
    <w:lvl w:ilvl="0" w:tplc="3698F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E7E2B"/>
    <w:multiLevelType w:val="hybridMultilevel"/>
    <w:tmpl w:val="847C296E"/>
    <w:lvl w:ilvl="0" w:tplc="086462F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0396D15"/>
    <w:multiLevelType w:val="hybridMultilevel"/>
    <w:tmpl w:val="33B897D0"/>
    <w:lvl w:ilvl="0" w:tplc="676044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EF70BF"/>
    <w:multiLevelType w:val="hybridMultilevel"/>
    <w:tmpl w:val="45EE296E"/>
    <w:lvl w:ilvl="0" w:tplc="566E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649F"/>
    <w:multiLevelType w:val="hybridMultilevel"/>
    <w:tmpl w:val="B614D098"/>
    <w:lvl w:ilvl="0" w:tplc="9BF6C8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E45C29"/>
    <w:multiLevelType w:val="hybridMultilevel"/>
    <w:tmpl w:val="C1EAB86C"/>
    <w:lvl w:ilvl="0" w:tplc="41A483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793C4C"/>
    <w:multiLevelType w:val="hybridMultilevel"/>
    <w:tmpl w:val="D90E6B9E"/>
    <w:lvl w:ilvl="0" w:tplc="CADE30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EB359C"/>
    <w:multiLevelType w:val="hybridMultilevel"/>
    <w:tmpl w:val="4BCE81B6"/>
    <w:lvl w:ilvl="0" w:tplc="5E4E40C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08F"/>
    <w:rsid w:val="00005040"/>
    <w:rsid w:val="00072952"/>
    <w:rsid w:val="00075C78"/>
    <w:rsid w:val="000D5DBC"/>
    <w:rsid w:val="000E3634"/>
    <w:rsid w:val="00103A0D"/>
    <w:rsid w:val="00106C22"/>
    <w:rsid w:val="001138CA"/>
    <w:rsid w:val="0012508F"/>
    <w:rsid w:val="00126371"/>
    <w:rsid w:val="00130F63"/>
    <w:rsid w:val="00157233"/>
    <w:rsid w:val="00164EFC"/>
    <w:rsid w:val="00176F26"/>
    <w:rsid w:val="001812B9"/>
    <w:rsid w:val="0019303D"/>
    <w:rsid w:val="00215F9C"/>
    <w:rsid w:val="00226470"/>
    <w:rsid w:val="002356FC"/>
    <w:rsid w:val="002363A6"/>
    <w:rsid w:val="00263A4C"/>
    <w:rsid w:val="00266E8F"/>
    <w:rsid w:val="00270629"/>
    <w:rsid w:val="00277F25"/>
    <w:rsid w:val="00286B78"/>
    <w:rsid w:val="00286C91"/>
    <w:rsid w:val="00292637"/>
    <w:rsid w:val="002958F4"/>
    <w:rsid w:val="002B497A"/>
    <w:rsid w:val="002C6842"/>
    <w:rsid w:val="002E30F2"/>
    <w:rsid w:val="002E75B2"/>
    <w:rsid w:val="002F53C0"/>
    <w:rsid w:val="003005C3"/>
    <w:rsid w:val="00317AEF"/>
    <w:rsid w:val="00334B81"/>
    <w:rsid w:val="00350B0F"/>
    <w:rsid w:val="00357156"/>
    <w:rsid w:val="00360724"/>
    <w:rsid w:val="003624E0"/>
    <w:rsid w:val="00367AA8"/>
    <w:rsid w:val="00387A73"/>
    <w:rsid w:val="003A691F"/>
    <w:rsid w:val="003D28E7"/>
    <w:rsid w:val="003E2093"/>
    <w:rsid w:val="004023D2"/>
    <w:rsid w:val="00417096"/>
    <w:rsid w:val="00435020"/>
    <w:rsid w:val="00454D09"/>
    <w:rsid w:val="00464896"/>
    <w:rsid w:val="00472EB9"/>
    <w:rsid w:val="00482487"/>
    <w:rsid w:val="00497DB0"/>
    <w:rsid w:val="004A424A"/>
    <w:rsid w:val="004A51C1"/>
    <w:rsid w:val="004C019C"/>
    <w:rsid w:val="004D4221"/>
    <w:rsid w:val="004F5901"/>
    <w:rsid w:val="005165B7"/>
    <w:rsid w:val="00521DE3"/>
    <w:rsid w:val="00530265"/>
    <w:rsid w:val="005320CA"/>
    <w:rsid w:val="005368D4"/>
    <w:rsid w:val="00540AF1"/>
    <w:rsid w:val="005818D6"/>
    <w:rsid w:val="0059191D"/>
    <w:rsid w:val="005B01D5"/>
    <w:rsid w:val="005B0BE5"/>
    <w:rsid w:val="005B1BB7"/>
    <w:rsid w:val="005B35F1"/>
    <w:rsid w:val="005C6927"/>
    <w:rsid w:val="005E5FA7"/>
    <w:rsid w:val="005F0F26"/>
    <w:rsid w:val="00603424"/>
    <w:rsid w:val="0060357D"/>
    <w:rsid w:val="00614057"/>
    <w:rsid w:val="00622767"/>
    <w:rsid w:val="006271BF"/>
    <w:rsid w:val="00644625"/>
    <w:rsid w:val="00646FE5"/>
    <w:rsid w:val="00656CD2"/>
    <w:rsid w:val="0065733D"/>
    <w:rsid w:val="00676398"/>
    <w:rsid w:val="00682015"/>
    <w:rsid w:val="006828DA"/>
    <w:rsid w:val="00692460"/>
    <w:rsid w:val="00696637"/>
    <w:rsid w:val="006C3546"/>
    <w:rsid w:val="006C4184"/>
    <w:rsid w:val="006D0DB3"/>
    <w:rsid w:val="006D5C6B"/>
    <w:rsid w:val="006F0026"/>
    <w:rsid w:val="0070293A"/>
    <w:rsid w:val="0071133D"/>
    <w:rsid w:val="0072503F"/>
    <w:rsid w:val="007301C9"/>
    <w:rsid w:val="0073315A"/>
    <w:rsid w:val="00743199"/>
    <w:rsid w:val="00761539"/>
    <w:rsid w:val="007623F4"/>
    <w:rsid w:val="00791E77"/>
    <w:rsid w:val="007964ED"/>
    <w:rsid w:val="007A4F75"/>
    <w:rsid w:val="007B0B38"/>
    <w:rsid w:val="007C12A6"/>
    <w:rsid w:val="007C7BFE"/>
    <w:rsid w:val="007D334C"/>
    <w:rsid w:val="007E5693"/>
    <w:rsid w:val="008131B9"/>
    <w:rsid w:val="00816A44"/>
    <w:rsid w:val="0082024A"/>
    <w:rsid w:val="00831A09"/>
    <w:rsid w:val="0084001A"/>
    <w:rsid w:val="00875A3C"/>
    <w:rsid w:val="00875C6B"/>
    <w:rsid w:val="008B310B"/>
    <w:rsid w:val="008B3C84"/>
    <w:rsid w:val="008B7D81"/>
    <w:rsid w:val="008D31B2"/>
    <w:rsid w:val="008F2925"/>
    <w:rsid w:val="008F4453"/>
    <w:rsid w:val="009032E2"/>
    <w:rsid w:val="009210B2"/>
    <w:rsid w:val="00951A6E"/>
    <w:rsid w:val="009857EE"/>
    <w:rsid w:val="009B280B"/>
    <w:rsid w:val="009C3F47"/>
    <w:rsid w:val="009E0CB6"/>
    <w:rsid w:val="009E3093"/>
    <w:rsid w:val="009E5DBC"/>
    <w:rsid w:val="009E6171"/>
    <w:rsid w:val="009E6D3F"/>
    <w:rsid w:val="009F0D93"/>
    <w:rsid w:val="009F66B5"/>
    <w:rsid w:val="009F6F7B"/>
    <w:rsid w:val="00A0278F"/>
    <w:rsid w:val="00A05C37"/>
    <w:rsid w:val="00A06A4B"/>
    <w:rsid w:val="00A26613"/>
    <w:rsid w:val="00A45AE7"/>
    <w:rsid w:val="00A461BF"/>
    <w:rsid w:val="00A541DE"/>
    <w:rsid w:val="00A660BC"/>
    <w:rsid w:val="00A80A6A"/>
    <w:rsid w:val="00A96513"/>
    <w:rsid w:val="00AB1F6F"/>
    <w:rsid w:val="00AD6E7A"/>
    <w:rsid w:val="00B0021D"/>
    <w:rsid w:val="00B11893"/>
    <w:rsid w:val="00B449CE"/>
    <w:rsid w:val="00B66A0E"/>
    <w:rsid w:val="00B762CD"/>
    <w:rsid w:val="00B76C7F"/>
    <w:rsid w:val="00B80508"/>
    <w:rsid w:val="00B93901"/>
    <w:rsid w:val="00BA141F"/>
    <w:rsid w:val="00BA2658"/>
    <w:rsid w:val="00BC0BD6"/>
    <w:rsid w:val="00BC3CC8"/>
    <w:rsid w:val="00BC5E22"/>
    <w:rsid w:val="00BD6882"/>
    <w:rsid w:val="00C052C7"/>
    <w:rsid w:val="00C155FE"/>
    <w:rsid w:val="00C212B1"/>
    <w:rsid w:val="00C472FE"/>
    <w:rsid w:val="00C738B7"/>
    <w:rsid w:val="00C7634E"/>
    <w:rsid w:val="00CB5793"/>
    <w:rsid w:val="00CC05B3"/>
    <w:rsid w:val="00D06372"/>
    <w:rsid w:val="00D22786"/>
    <w:rsid w:val="00D249E9"/>
    <w:rsid w:val="00D30526"/>
    <w:rsid w:val="00D44754"/>
    <w:rsid w:val="00D46CC8"/>
    <w:rsid w:val="00D56A71"/>
    <w:rsid w:val="00D65E5C"/>
    <w:rsid w:val="00D87D0A"/>
    <w:rsid w:val="00DA3093"/>
    <w:rsid w:val="00DB4E0D"/>
    <w:rsid w:val="00DC18AC"/>
    <w:rsid w:val="00DC4B64"/>
    <w:rsid w:val="00DC7A82"/>
    <w:rsid w:val="00DE075B"/>
    <w:rsid w:val="00E15517"/>
    <w:rsid w:val="00E40491"/>
    <w:rsid w:val="00E42822"/>
    <w:rsid w:val="00E54260"/>
    <w:rsid w:val="00E60E9F"/>
    <w:rsid w:val="00E6186C"/>
    <w:rsid w:val="00E628C4"/>
    <w:rsid w:val="00E72EA3"/>
    <w:rsid w:val="00E80B15"/>
    <w:rsid w:val="00E96E64"/>
    <w:rsid w:val="00EA59C9"/>
    <w:rsid w:val="00EA6358"/>
    <w:rsid w:val="00EB24C4"/>
    <w:rsid w:val="00F003E0"/>
    <w:rsid w:val="00F06E22"/>
    <w:rsid w:val="00F10774"/>
    <w:rsid w:val="00F15823"/>
    <w:rsid w:val="00F221C2"/>
    <w:rsid w:val="00F60C3C"/>
    <w:rsid w:val="00F64E57"/>
    <w:rsid w:val="00F72870"/>
    <w:rsid w:val="00F82582"/>
    <w:rsid w:val="00F87E35"/>
    <w:rsid w:val="00F94A50"/>
    <w:rsid w:val="00F96A15"/>
    <w:rsid w:val="00FA6AA7"/>
    <w:rsid w:val="00FA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8F"/>
    <w:pPr>
      <w:spacing w:after="0" w:line="240" w:lineRule="auto"/>
    </w:pPr>
    <w:rPr>
      <w:rFonts w:eastAsia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C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16A44"/>
    <w:pPr>
      <w:ind w:firstLine="720"/>
      <w:jc w:val="both"/>
    </w:pPr>
    <w:rPr>
      <w:rFonts w:ascii=".VnTime" w:hAnsi=".VnTime"/>
      <w:sz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A44"/>
    <w:rPr>
      <w:rFonts w:ascii=".VnTime" w:eastAsia="Times New Roman" w:hAnsi=".VnTime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1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A09"/>
    <w:rPr>
      <w:rFonts w:eastAsia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831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A09"/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1A9306F90D4BA72B344F84569909" ma:contentTypeVersion="0" ma:contentTypeDescription="Create a new document." ma:contentTypeScope="" ma:versionID="515e78a9d2963bffdb0b4e222072b5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F614A-ACC6-4DB3-BD96-F70301111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66D2C-BC77-4566-9BCC-AB49955A6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A38C9-CB07-4903-9EDD-30E931DC2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DTNQ  về chế độ công tác phí.docx</vt:lpstr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dtnq  về chế độ công tác phí.docx</dc:title>
  <dc:creator>Customer</dc:creator>
  <cp:lastModifiedBy>Tri?u Thu?n</cp:lastModifiedBy>
  <cp:revision>2</cp:revision>
  <cp:lastPrinted>2017-07-19T01:29:00Z</cp:lastPrinted>
  <dcterms:created xsi:type="dcterms:W3CDTF">2017-08-11T06:21:00Z</dcterms:created>
  <dcterms:modified xsi:type="dcterms:W3CDTF">2017-08-11T06:21:00Z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0x0101004CD51A9306F90D4BA72B344F84569909</vt:lpwstr>
  </property>
</Properties>
</file>